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62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>
        <w:trPr/>
        <w:tc>
          <w:tcPr>
            <w:tcW w:w="4962" w:type="dxa"/>
            <w:textDirection w:val="lrTb"/>
            <w:noWrap w:val="false"/>
          </w:tcPr>
          <w:p>
            <w:pPr>
              <w:pStyle w:val="860"/>
              <w:rPr>
                <w:sz w:val="30"/>
              </w:rPr>
            </w:pPr>
            <w:r>
              <w:rPr>
                <w:b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304380" cy="128651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41881" cy="134004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60.2pt;height:101.3pt;mso-wrap-distance-left:0.0pt;mso-wrap-distance-top:0.0pt;mso-wrap-distance-right:0.0pt;mso-wrap-distance-bottom:0.0pt;" stroked="false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/>
          </w:p>
        </w:tc>
        <w:tc>
          <w:tcPr>
            <w:tcW w:w="4677" w:type="dxa"/>
            <w:textDirection w:val="lrTb"/>
            <w:noWrap w:val="false"/>
          </w:tcPr>
          <w:p>
            <w:pPr>
              <w:ind w:left="290"/>
              <w:jc w:val="center"/>
              <w:spacing w:line="360" w:lineRule="auto"/>
              <w:rPr>
                <w:sz w:val="30"/>
              </w:rPr>
            </w:pPr>
            <w:r>
              <w:rPr>
                <w:sz w:val="30"/>
              </w:rPr>
            </w:r>
            <w:r/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ОПИСАНИЕ КОМПЕТЕНЦИИ</w:t>
      </w:r>
      <w:r/>
    </w:p>
    <w:p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«</w:t>
      </w:r>
      <w:r>
        <w:rPr>
          <w:rFonts w:ascii="Times New Roman" w:hAnsi="Times New Roman" w:cs="Times New Roman"/>
          <w:sz w:val="36"/>
          <w:szCs w:val="36"/>
        </w:rPr>
        <w:t xml:space="preserve">ЛАБОРАТОРНЫЙ ХИМИЧЕСКИЙ АНАЛИЗ</w:t>
      </w:r>
      <w:r>
        <w:rPr>
          <w:rFonts w:ascii="Times New Roman" w:hAnsi="Times New Roman" w:cs="Times New Roman"/>
          <w:sz w:val="36"/>
          <w:szCs w:val="36"/>
        </w:rPr>
        <w:t xml:space="preserve">»</w:t>
      </w:r>
      <w:r/>
    </w:p>
    <w:p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Регионального</w:t>
      </w:r>
      <w:r>
        <w:rPr>
          <w:rFonts w:ascii="Times New Roman" w:hAnsi="Times New Roman" w:cs="Times New Roman"/>
          <w:sz w:val="36"/>
          <w:szCs w:val="36"/>
        </w:rPr>
        <w:t xml:space="preserve"> этапа чемпионата по профессиональному м</w:t>
      </w:r>
      <w:r>
        <w:rPr>
          <w:rFonts w:ascii="Times New Roman" w:hAnsi="Times New Roman" w:cs="Times New Roman"/>
          <w:sz w:val="36"/>
          <w:szCs w:val="36"/>
        </w:rPr>
        <w:t xml:space="preserve">астерству «Профессионалы» - 2024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72"/>
          <w:szCs w:val="72"/>
        </w:rPr>
      </w:r>
      <w:r/>
    </w:p>
    <w:p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36"/>
          <w:szCs w:val="36"/>
        </w:rPr>
        <w:t xml:space="preserve">в Ленинградской области</w:t>
      </w:r>
      <w:r/>
    </w:p>
    <w:p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</w:r>
      <w:r/>
    </w:p>
    <w:p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</w:r>
      <w:r/>
    </w:p>
    <w:p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</w:r>
      <w:r/>
    </w:p>
    <w:p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</w:r>
      <w:r/>
    </w:p>
    <w:p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</w:r>
      <w:r/>
    </w:p>
    <w:p>
      <w:pPr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г.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Кириши,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2024</w:t>
      </w:r>
      <w:r/>
    </w:p>
    <w:p>
      <w:pPr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/>
    </w:p>
    <w:p>
      <w:pPr>
        <w:spacing w:after="0" w:line="276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Наименование компетенции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eastAsia="Calibri" w:cs="Times New Roman"/>
          <w:sz w:val="28"/>
          <w:szCs w:val="28"/>
        </w:rPr>
        <w:t xml:space="preserve">«Лабораторный химический анализ»</w:t>
      </w:r>
      <w:r/>
    </w:p>
    <w:p>
      <w:pPr>
        <w:jc w:val="both"/>
        <w:spacing w:after="0" w:line="276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Формат участия в соревновании</w:t>
      </w:r>
      <w:r>
        <w:rPr>
          <w:rFonts w:ascii="Times New Roman" w:hAnsi="Times New Roman" w:eastAsia="Calibri" w:cs="Times New Roman"/>
          <w:sz w:val="28"/>
          <w:szCs w:val="28"/>
        </w:rPr>
        <w:t xml:space="preserve">: индивидуальный </w:t>
      </w:r>
      <w:r/>
    </w:p>
    <w:p>
      <w:pPr>
        <w:jc w:val="both"/>
        <w:spacing w:after="0" w:line="276" w:lineRule="auto"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</w:r>
      <w:r/>
    </w:p>
    <w:p>
      <w:pPr>
        <w:jc w:val="both"/>
        <w:spacing w:after="0" w:line="276" w:lineRule="auto"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Описание компетенции</w:t>
      </w:r>
      <w:r/>
    </w:p>
    <w:p>
      <w:pPr>
        <w:ind w:firstLine="709"/>
        <w:jc w:val="both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настоящее время человек использует лишь небольшую часть природных минеральных, растительных и животных веществ. Часть продуктов, материалов, необходимых в повседневной жизни, изготавливается искусственно, т.е. перерабатывае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тся. Для контроля промышленных процессов и получения изделий с заданными свойствами используется химический анализ. Лаборант проводит химический и физико-химический анализ различных веществ: руд, нефти и нефтепродуктов, сталей различных марок, сплавов мета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ллов, кислот, солей и др. необходимый для контроля соответствия продуктов технологического процесса и готовой продукции заданным нормам. Осуществляет синтез веществ в лабораторных условиях. Информация такого вида чрезвычайно ценна. Благодаря этим данным 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уществляют контроль качества сырья и готовой продукции в разных отраслях промышленности, проводят всевозможные научные эксперименты, выясняют степень загрязнения окружающей среды, определяют объем и состав удобрений, необходимых для подкормки почвы и т.д. </w:t>
      </w:r>
      <w:r/>
    </w:p>
    <w:p>
      <w:pPr>
        <w:ind w:firstLine="709"/>
        <w:jc w:val="both"/>
        <w:spacing w:after="0" w:line="276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Основной целью профессиональной деятельности лаборанта химического анализа является проведение физико-химических анализов, подготовка растворов, материалов, комплектующих изделий для химико-физичес</w:t>
      </w:r>
      <w:r>
        <w:rPr>
          <w:rFonts w:ascii="Times New Roman" w:hAnsi="Times New Roman" w:eastAsia="Calibri" w:cs="Times New Roman"/>
          <w:sz w:val="28"/>
          <w:szCs w:val="28"/>
        </w:rPr>
        <w:t xml:space="preserve">ких анализов; организация и проведение химико-физических анализов растворов, материалов, комплектующих/образцов изделий, стандартных образцов материалов; контроль проведения химико-физических анализов; осуществление работ по исследованию свойств материалов</w:t>
      </w:r>
      <w:r/>
    </w:p>
    <w:p>
      <w:pPr>
        <w:ind w:firstLine="709"/>
        <w:jc w:val="both"/>
        <w:spacing w:after="0" w:line="384" w:lineRule="atLeas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Основная деятельность лаборанта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 связана с получением информации о химическом составе или химических свойствах тех или иных образцов жидкостей, газов, паров и твердых веществ в целях контроля качества производимой продукции, охраны окружающей среды и пр.</w:t>
      </w:r>
      <w:r/>
    </w:p>
    <w:p>
      <w:pPr>
        <w:ind w:firstLine="709"/>
        <w:jc w:val="both"/>
        <w:spacing w:after="0" w:line="384" w:lineRule="atLeas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 основным обязанностям лаборанта химического анализа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относятся:</w:t>
      </w:r>
      <w:r/>
    </w:p>
    <w:p>
      <w:pPr>
        <w:numPr>
          <w:ilvl w:val="0"/>
          <w:numId w:val="9"/>
        </w:numPr>
        <w:ind w:left="300" w:firstLine="709"/>
        <w:jc w:val="both"/>
        <w:spacing w:before="72" w:after="72" w:line="384" w:lineRule="atLeas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подготовка и отбор проб для выполнения аналитического контроля;</w:t>
      </w:r>
      <w:r/>
    </w:p>
    <w:p>
      <w:pPr>
        <w:numPr>
          <w:ilvl w:val="0"/>
          <w:numId w:val="9"/>
        </w:numPr>
        <w:ind w:left="300" w:firstLine="709"/>
        <w:jc w:val="both"/>
        <w:spacing w:before="72" w:after="72" w:line="384" w:lineRule="atLeas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проведение анализа материалов по аттестованным методикам;</w:t>
      </w:r>
      <w:r/>
    </w:p>
    <w:p>
      <w:pPr>
        <w:numPr>
          <w:ilvl w:val="0"/>
          <w:numId w:val="9"/>
        </w:numPr>
        <w:ind w:left="300" w:firstLine="709"/>
        <w:jc w:val="both"/>
        <w:spacing w:before="72" w:after="72" w:line="384" w:lineRule="atLeas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экспертиза качества продукции производства;</w:t>
      </w:r>
      <w:r/>
    </w:p>
    <w:p>
      <w:pPr>
        <w:numPr>
          <w:ilvl w:val="0"/>
          <w:numId w:val="9"/>
        </w:numPr>
        <w:ind w:left="300" w:firstLine="709"/>
        <w:jc w:val="both"/>
        <w:spacing w:before="72" w:after="72" w:line="384" w:lineRule="atLeas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осуществление аналитического контроля окружающей среды;</w:t>
      </w:r>
      <w:r/>
    </w:p>
    <w:p>
      <w:pPr>
        <w:numPr>
          <w:ilvl w:val="0"/>
          <w:numId w:val="9"/>
        </w:numPr>
        <w:ind w:left="300" w:firstLine="709"/>
        <w:jc w:val="both"/>
        <w:spacing w:before="72" w:after="72" w:line="384" w:lineRule="atLeas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идентификация синтезированных веществ;</w:t>
      </w:r>
      <w:r/>
    </w:p>
    <w:p>
      <w:pPr>
        <w:numPr>
          <w:ilvl w:val="0"/>
          <w:numId w:val="9"/>
        </w:numPr>
        <w:ind w:left="300" w:firstLine="709"/>
        <w:jc w:val="both"/>
        <w:spacing w:before="72" w:after="72" w:line="384" w:lineRule="atLeas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планирование и организация экспериментальных работ;</w:t>
      </w:r>
      <w:r/>
    </w:p>
    <w:p>
      <w:pPr>
        <w:numPr>
          <w:ilvl w:val="0"/>
          <w:numId w:val="9"/>
        </w:numPr>
        <w:ind w:left="300" w:firstLine="709"/>
        <w:jc w:val="both"/>
        <w:spacing w:before="72" w:after="72" w:line="384" w:lineRule="atLeas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выбор оптимальных методов исследования;</w:t>
      </w:r>
      <w:r/>
    </w:p>
    <w:p>
      <w:pPr>
        <w:numPr>
          <w:ilvl w:val="0"/>
          <w:numId w:val="9"/>
        </w:numPr>
        <w:ind w:left="300" w:firstLine="709"/>
        <w:jc w:val="both"/>
        <w:spacing w:before="72" w:after="72" w:line="384" w:lineRule="atLeas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организация безопасных условий труда.</w:t>
      </w:r>
      <w:r/>
    </w:p>
    <w:p>
      <w:pPr>
        <w:ind w:firstLine="709"/>
        <w:jc w:val="both"/>
        <w:spacing w:after="0" w:line="276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Лаборант химического анализа работает в различных отраслях промышленностях: химической, нефтехимической, анилинокрасочной, лакокрасочной, фармацевтической, строительных материалов и др. </w:t>
      </w:r>
      <w:r/>
    </w:p>
    <w:p>
      <w:pPr>
        <w:ind w:firstLine="709"/>
        <w:jc w:val="both"/>
        <w:spacing w:after="0" w:line="276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Средства труда (основные применяемые виды оборудования и технологий):</w:t>
      </w:r>
      <w:r/>
    </w:p>
    <w:p>
      <w:pPr>
        <w:ind w:firstLine="709"/>
        <w:jc w:val="both"/>
        <w:spacing w:after="0" w:line="276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В своей работе лаборант х</w:t>
      </w:r>
      <w:r>
        <w:rPr>
          <w:rFonts w:ascii="Times New Roman" w:hAnsi="Times New Roman" w:eastAsia="Calibri" w:cs="Times New Roman"/>
          <w:sz w:val="28"/>
          <w:szCs w:val="28"/>
        </w:rPr>
        <w:t xml:space="preserve">имического анализа использует современные компьютерные программы, механические, автоматические, измерительные приборы различной степени сложности (дозиметры, весы электронные, посуда и реактивы и т.д.). Используется нормативная и техническая документация. </w:t>
      </w:r>
      <w:r/>
    </w:p>
    <w:p>
      <w:pPr>
        <w:ind w:firstLine="709"/>
        <w:jc w:val="both"/>
        <w:spacing w:after="0" w:line="276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Лаборанты химического анализа особенно востребованы в химической и нефтехимической промышленности. Это отрасль производства всегда отличалась престижностью, актуальностью, высоким доходом своих сотрудников и возможностью карьерного роста.</w:t>
      </w:r>
      <w:r/>
    </w:p>
    <w:p>
      <w:pPr>
        <w:ind w:firstLine="709"/>
        <w:jc w:val="both"/>
        <w:spacing w:after="0" w:line="276" w:lineRule="auto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Компетенция включает в себя знания по следующим объектам профессиональной деятельности:</w:t>
      </w:r>
      <w:r/>
    </w:p>
    <w:p>
      <w:pPr>
        <w:numPr>
          <w:ilvl w:val="0"/>
          <w:numId w:val="2"/>
        </w:numPr>
        <w:contextualSpacing/>
        <w:jc w:val="both"/>
        <w:spacing w:after="0" w:line="276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природные и промышленные материалы; </w:t>
      </w:r>
      <w:r/>
    </w:p>
    <w:p>
      <w:pPr>
        <w:numPr>
          <w:ilvl w:val="0"/>
          <w:numId w:val="2"/>
        </w:numPr>
        <w:contextualSpacing/>
        <w:jc w:val="both"/>
        <w:spacing w:after="0" w:line="276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лекарственные средства (Российская, Европейская и Американская фармакопея); </w:t>
      </w:r>
      <w:r/>
    </w:p>
    <w:p>
      <w:pPr>
        <w:numPr>
          <w:ilvl w:val="0"/>
          <w:numId w:val="2"/>
        </w:numPr>
        <w:contextualSpacing/>
        <w:jc w:val="both"/>
        <w:spacing w:after="0" w:line="276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оборудование и приборы; </w:t>
      </w:r>
      <w:r/>
    </w:p>
    <w:p>
      <w:pPr>
        <w:numPr>
          <w:ilvl w:val="0"/>
          <w:numId w:val="2"/>
        </w:numPr>
        <w:contextualSpacing/>
        <w:jc w:val="both"/>
        <w:spacing w:after="0" w:line="276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нормативная и техническая документация.</w:t>
      </w:r>
      <w:r/>
    </w:p>
    <w:p>
      <w:pPr>
        <w:jc w:val="both"/>
        <w:spacing w:after="0" w:line="276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/>
    </w:p>
    <w:p>
      <w:pPr>
        <w:jc w:val="both"/>
        <w:keepNext/>
        <w:spacing w:after="0" w:line="276" w:lineRule="auto"/>
        <w:rPr>
          <w:rFonts w:ascii="Times New Roman" w:hAnsi="Times New Roman" w:eastAsia="Calibri" w:cs="Times New Roman"/>
          <w:b/>
          <w:caps/>
          <w:sz w:val="28"/>
          <w:szCs w:val="28"/>
        </w:rPr>
        <w:outlineLvl w:val="1"/>
      </w:pPr>
      <w:r/>
      <w:bookmarkStart w:id="0" w:name="_Toc123113308"/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Нормативные правовые акты.</w:t>
      </w:r>
      <w:bookmarkEnd w:id="0"/>
      <w:r/>
      <w:r/>
    </w:p>
    <w:p>
      <w:pPr>
        <w:ind w:firstLine="709"/>
        <w:jc w:val="both"/>
        <w:spacing w:after="0" w:line="276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  <w:r/>
    </w:p>
    <w:p>
      <w:pPr>
        <w:numPr>
          <w:ilvl w:val="0"/>
          <w:numId w:val="3"/>
        </w:numPr>
        <w:contextualSpacing/>
        <w:ind w:firstLine="851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ФГОС СПО</w:t>
      </w:r>
      <w:r/>
    </w:p>
    <w:p>
      <w:pPr>
        <w:numPr>
          <w:ilvl w:val="0"/>
          <w:numId w:val="4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18.02.12 Технология аналитического контроля химических соединений.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Приказ Министерства образования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br/>
        <w:t xml:space="preserve">и науки РФ от 09.12.2016 г. № 1554;</w:t>
      </w:r>
      <w:r/>
    </w:p>
    <w:p>
      <w:pPr>
        <w:numPr>
          <w:ilvl w:val="0"/>
          <w:numId w:val="4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>
        <w:rPr>
          <w:rFonts w:ascii="Times New Roman" w:hAnsi="Times New Roman" w:eastAsia="Calibri" w:cs="Times New Roman"/>
          <w:sz w:val="28"/>
          <w:szCs w:val="28"/>
        </w:rPr>
        <w:t xml:space="preserve">19.02.01 Биохимическое производство</w:t>
      </w:r>
      <w:r>
        <w:rPr>
          <w:rFonts w:ascii="Times New Roman" w:hAnsi="Times New Roman" w:eastAsia="Calibri" w:cs="Times New Roman"/>
          <w:iCs/>
          <w:sz w:val="28"/>
          <w:szCs w:val="28"/>
        </w:rPr>
        <w:t xml:space="preserve">. Приказ Министерства образования и науки РФ от 22.04.2014 г. № 371;</w:t>
      </w:r>
      <w:r/>
    </w:p>
    <w:p>
      <w:pPr>
        <w:numPr>
          <w:ilvl w:val="0"/>
          <w:numId w:val="4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18.02.09 Переработка нефти и газа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. Приказ Министерства просвещения РФ от 17.11.2020 г. №646;</w:t>
      </w:r>
      <w:r/>
    </w:p>
    <w:p>
      <w:pPr>
        <w:numPr>
          <w:ilvl w:val="0"/>
          <w:numId w:val="4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18.01.33 Лаборант по контролю качества сырья, реактивов, промежуточных продуктов, готовой продукции, отходов производства (по отраслям)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. Приказ Министерства образования и науки Российской Федерации от 09.12.2016 г. № 1571;</w:t>
      </w:r>
      <w:r/>
    </w:p>
    <w:p>
      <w:pPr>
        <w:numPr>
          <w:ilvl w:val="0"/>
          <w:numId w:val="4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18.02.04 Электрохимическое производство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. Приказ Министерства образования и науки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br/>
        <w:t xml:space="preserve">РФ от 23.042014 г. № 399;</w:t>
      </w:r>
      <w:r/>
    </w:p>
    <w:p>
      <w:pPr>
        <w:numPr>
          <w:ilvl w:val="0"/>
          <w:numId w:val="4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18.02.06 Химическая технология органических веществ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. Приказ Министерства образования и науки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br/>
        <w:t xml:space="preserve">РФ от 7 мая 2014 г. № 436;</w:t>
      </w:r>
      <w:r/>
    </w:p>
    <w:p>
      <w:pPr>
        <w:numPr>
          <w:ilvl w:val="0"/>
          <w:numId w:val="4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18.02.03 Химическая технология неорганических веществ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. Приказ Министерства образования и науки РФ от 22.04.2014 г. № 385;</w:t>
      </w:r>
      <w:r/>
    </w:p>
    <w:p>
      <w:pPr>
        <w:numPr>
          <w:ilvl w:val="0"/>
          <w:numId w:val="4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ФГОС СПО по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19.01.02 Лаборант-аналитик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. Приказ Министерства образования и науки РФ от 02.08.2013 г. № 900.</w:t>
      </w:r>
      <w:r/>
    </w:p>
    <w:p>
      <w:pPr>
        <w:numPr>
          <w:ilvl w:val="0"/>
          <w:numId w:val="6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ГОСТ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4388-72 Вода питьевая. Фотометрический метод определения меди в питьевой воде.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31956-2012 Вода. Определения хрома (</w:t>
      </w:r>
      <w:r>
        <w:rPr>
          <w:rFonts w:ascii="Times New Roman" w:hAnsi="Times New Roman" w:eastAsia="Calibri" w:cs="Times New Roman"/>
          <w:sz w:val="28"/>
          <w:szCs w:val="28"/>
          <w:lang w:val="en-GB"/>
        </w:rPr>
        <w:t xml:space="preserve">VI</w:t>
      </w:r>
      <w:r>
        <w:rPr>
          <w:rFonts w:ascii="Times New Roman" w:hAnsi="Times New Roman" w:eastAsia="Calibri" w:cs="Times New Roman"/>
          <w:sz w:val="28"/>
          <w:szCs w:val="28"/>
        </w:rPr>
        <w:t xml:space="preserve">) в любых водах. 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22898-78 Коксы нефтяные малосернистые. Технические условия. Определение массовой концентрации ванадия.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4974-2014 Вода питьевая. Определение содержания марганца.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25794.1-83 Реактивы. Методы приготовления титрованных растворов для кислотно-основного титрования.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10398-2016 Реактивы и особо чистые вещества. </w:t>
      </w:r>
      <w:r>
        <w:rPr>
          <w:rFonts w:ascii="Times New Roman" w:hAnsi="Times New Roman" w:eastAsia="Calibri" w:cs="Times New Roman"/>
          <w:sz w:val="28"/>
          <w:szCs w:val="28"/>
        </w:rPr>
        <w:t xml:space="preserve">Комплексонометрический</w:t>
      </w:r>
      <w:r>
        <w:rPr>
          <w:rFonts w:ascii="Times New Roman" w:hAnsi="Times New Roman" w:eastAsia="Calibri" w:cs="Times New Roman"/>
          <w:sz w:val="28"/>
          <w:szCs w:val="28"/>
        </w:rPr>
        <w:t xml:space="preserve"> метод определения содержания основного вещества.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31954-2012 Вода питьевая. Методы определения жесткости.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2184-2013 Кислота серная техническая. Технические условия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25555.0-82 Продукты переработки плодов и овощей. Методы определения титруемой кислотности. 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25179-2014 Молоко и молочные продукты. Методы определения массовой доли белка.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3624-92 Молоко и молочные продукты.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6552-80 Реактивы. Кислота ортофосфорная. Технические условия.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12574-93 Сахар-песок и сахар-рафинад. Методы определения золы 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33569-2015 Молочная продукции. Кондуктометрический метод определения массовой доли хлористого натрия 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27894.9-88 Торф и продукты его переработки для сельского хозяйства. Метод определения содержания водорастворимых солей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ГОСТ6307-75 Нефтепродукты. Метод определения наличия водорастворимых кислот и щелочей.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33-2016 Нефть и нефтепродукты. Прозрачные и непрозрачные жидкости. Определение кинематической и динамической вязкости.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2177- 99 Нефтепродукты. Методы определения фракционного состава. Метод А.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2070-82 Нефтепродукты светлые. Методы определения йодных чисел и содержания непредельных углеводородов (с Изменениями </w:t>
      </w:r>
      <w:r>
        <w:rPr>
          <w:rFonts w:ascii="Times New Roman" w:hAnsi="Times New Roman" w:eastAsia="Calibri" w:cs="Times New Roman"/>
          <w:sz w:val="28"/>
          <w:szCs w:val="28"/>
          <w:lang w:val="en-GB"/>
        </w:rPr>
        <w:t xml:space="preserve">N</w:t>
      </w:r>
      <w:r>
        <w:rPr>
          <w:rFonts w:ascii="Times New Roman" w:hAnsi="Times New Roman" w:eastAsia="Calibri" w:cs="Times New Roman"/>
          <w:sz w:val="28"/>
          <w:szCs w:val="28"/>
        </w:rPr>
        <w:t xml:space="preserve"> 1, 2).</w:t>
      </w:r>
      <w:r/>
    </w:p>
    <w:p>
      <w:pPr>
        <w:numPr>
          <w:ilvl w:val="0"/>
          <w:numId w:val="5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ГОСТ 7482-96. Межгосударственный стандарт. Глицерин. Правила приемки и методы испытаний.</w:t>
      </w:r>
      <w:r/>
    </w:p>
    <w:p>
      <w:pPr>
        <w:numPr>
          <w:ilvl w:val="0"/>
          <w:numId w:val="6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ЕТКС</w:t>
      </w:r>
      <w:r/>
    </w:p>
    <w:p>
      <w:pPr>
        <w:numPr>
          <w:ilvl w:val="0"/>
          <w:numId w:val="7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 xml:space="preserve">Единый тарифно-квалификационный справочник </w:t>
      </w:r>
      <w:r>
        <w:rPr>
          <w:rFonts w:ascii="Times New Roman" w:hAnsi="Times New Roman" w:eastAsia="Calibri" w:cs="Times New Roman"/>
          <w:bCs/>
          <w:sz w:val="28"/>
          <w:szCs w:val="28"/>
        </w:rPr>
        <w:t xml:space="preserve">Работ и профессий рабочих Выпуск 1 Раздел: "Профессии рабочих, общие для всех отраслей Народного хозяйства" § 155-157. Лаборант химического анализа, утвержден Постановлением Госкомтруда СССР, Секретариата ВЦСПС от 31.01.1985 № 31/3-30 (ред. от 09.04.2018).</w:t>
      </w:r>
      <w:r/>
    </w:p>
    <w:p>
      <w:pPr>
        <w:numPr>
          <w:ilvl w:val="0"/>
          <w:numId w:val="6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СанПиН</w:t>
      </w:r>
      <w:r/>
    </w:p>
    <w:p>
      <w:pPr>
        <w:numPr>
          <w:ilvl w:val="0"/>
          <w:numId w:val="8"/>
        </w:numPr>
        <w:contextualSpacing/>
        <w:ind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СанПиН</w:t>
      </w:r>
      <w:r>
        <w:rPr>
          <w:rFonts w:ascii="Times New Roman" w:hAnsi="Times New Roman" w:eastAsia="Calibri" w:cs="Times New Roman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 Постановлением Главного государственного ветеринарного врача Российской Федерации от 28.01.2021 №2</w:t>
      </w:r>
      <w:r/>
    </w:p>
    <w:p>
      <w:pPr>
        <w:numPr>
          <w:ilvl w:val="0"/>
          <w:numId w:val="8"/>
        </w:numPr>
        <w:contextualSpacing/>
        <w:ind w:firstLine="709"/>
        <w:jc w:val="both"/>
        <w:spacing w:after="0" w:line="276" w:lineRule="auto"/>
        <w:widowControl w:val="off"/>
        <w:tabs>
          <w:tab w:val="left" w:pos="993" w:leader="none"/>
        </w:tabs>
        <w:rPr>
          <w:rFonts w:ascii="Times New Roman" w:hAnsi="Times New Roman" w:eastAsia="Calibri" w:cs="Times New Roman"/>
          <w:bCs/>
          <w:iCs/>
          <w:sz w:val="28"/>
          <w:szCs w:val="28"/>
        </w:rPr>
        <w:outlineLvl w:val="1"/>
      </w:pP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СанПиН 2.1.3684-21 «Санитарно-эпидемиологические требования к содержанию территорий городских и сельских поселений, 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к водным объектам, питьевой воде и питьевому водоснабжению, атмосферному воздуху, почвам, жилым помещениям, э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 Постановлением Главного государственного санитарного врача РФ от 28.01.2021 №3 (с изм. 14.02.2022 года)</w:t>
      </w:r>
      <w:r/>
    </w:p>
    <w:p>
      <w:pPr>
        <w:ind w:firstLine="709"/>
        <w:jc w:val="both"/>
        <w:spacing w:after="0" w:line="276" w:lineRule="auto"/>
        <w:widowControl w:val="off"/>
        <w:rPr>
          <w:rFonts w:ascii="Times New Roman" w:hAnsi="Times New Roman" w:eastAsia="Calibri" w:cs="Times New Roman"/>
          <w:bCs/>
          <w:iCs/>
          <w:sz w:val="28"/>
          <w:szCs w:val="28"/>
        </w:rPr>
        <w:outlineLvl w:val="1"/>
      </w:pP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  <w:r/>
    </w:p>
    <w:p>
      <w:pPr>
        <w:ind w:firstLine="709"/>
        <w:jc w:val="both"/>
        <w:spacing w:after="0" w:line="276" w:lineRule="auto"/>
        <w:widowControl w:val="off"/>
        <w:rPr>
          <w:rFonts w:ascii="Times New Roman" w:hAnsi="Times New Roman" w:eastAsia="Calibri" w:cs="Times New Roman"/>
          <w:i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Перечень профессиональных задач специалиста по компетенции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</w:t>
      </w:r>
      <w:r>
        <w:rPr>
          <w:rFonts w:ascii="Times New Roman" w:hAnsi="Times New Roman" w:eastAsia="Calibri" w:cs="Times New Roman"/>
          <w:sz w:val="28"/>
          <w:szCs w:val="28"/>
        </w:rPr>
        <w:t xml:space="preserve">пределяется профессиональной областью специалиста и базируется </w:t>
      </w:r>
      <w:r>
        <w:rPr>
          <w:rFonts w:ascii="Times New Roman" w:hAnsi="Times New Roman" w:eastAsia="Calibri" w:cs="Times New Roman"/>
          <w:sz w:val="28"/>
          <w:szCs w:val="28"/>
        </w:rPr>
        <w:br/>
        <w:t xml:space="preserve">на требованиях современного рынка труда к данному специалисту</w:t>
      </w:r>
      <w:r>
        <w:rPr>
          <w:rFonts w:ascii="Times New Roman" w:hAnsi="Times New Roman" w:eastAsia="Calibri" w:cs="Times New Roman"/>
          <w:i/>
          <w:sz w:val="28"/>
          <w:szCs w:val="28"/>
        </w:rPr>
        <w:t xml:space="preserve">.</w:t>
      </w:r>
      <w:r/>
    </w:p>
    <w:p>
      <w:pPr>
        <w:jc w:val="both"/>
        <w:spacing w:after="0" w:line="276" w:lineRule="auto"/>
        <w:widowControl w:val="off"/>
        <w:rPr>
          <w:rFonts w:ascii="Times New Roman" w:hAnsi="Times New Roman" w:eastAsia="Calibri" w:cs="Times New Roman"/>
          <w:i/>
          <w:sz w:val="28"/>
          <w:szCs w:val="28"/>
        </w:rPr>
        <w:outlineLvl w:val="1"/>
      </w:pPr>
      <w:r>
        <w:rPr>
          <w:rFonts w:ascii="Times New Roman" w:hAnsi="Times New Roman" w:eastAsia="Calibri" w:cs="Times New Roman"/>
          <w:i/>
          <w:sz w:val="28"/>
          <w:szCs w:val="28"/>
        </w:rPr>
      </w:r>
      <w:r/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>
        <w:trPr/>
        <w:tc>
          <w:tcPr>
            <w:shd w:val="clear" w:color="auto" w:fill="92d050"/>
            <w:tcW w:w="529" w:type="pct"/>
            <w:textDirection w:val="lrTb"/>
            <w:noWrap w:val="false"/>
          </w:tcPr>
          <w:p>
            <w:pPr>
              <w:jc w:val="center"/>
              <w:spacing w:after="113"/>
              <w:widowControl w:val="off"/>
              <w:rPr>
                <w:rFonts w:ascii="Times New Roman" w:hAnsi="Times New Roman" w:eastAsia="Calibri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color w:val="ffffff"/>
                <w:sz w:val="28"/>
                <w:szCs w:val="28"/>
              </w:rPr>
              <w:t xml:space="preserve">№ п/п</w:t>
            </w:r>
            <w:r/>
          </w:p>
        </w:tc>
        <w:tc>
          <w:tcPr>
            <w:shd w:val="clear" w:color="auto" w:fill="92d050"/>
            <w:tcW w:w="4471" w:type="pct"/>
            <w:textDirection w:val="lrTb"/>
            <w:noWrap w:val="false"/>
          </w:tcPr>
          <w:p>
            <w:pPr>
              <w:spacing w:after="113"/>
              <w:widowControl w:val="off"/>
              <w:rPr>
                <w:rFonts w:ascii="Times New Roman" w:hAnsi="Times New Roman" w:eastAsia="Calibri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color w:val="ffffff"/>
                <w:sz w:val="28"/>
                <w:szCs w:val="28"/>
              </w:rPr>
              <w:t xml:space="preserve">Виды деятельности/трудовые функции</w:t>
            </w:r>
            <w:r/>
          </w:p>
        </w:tc>
      </w:tr>
      <w:tr>
        <w:trPr/>
        <w:tc>
          <w:tcPr>
            <w:shd w:val="clear" w:color="auto" w:fill="ffff00"/>
            <w:tcW w:w="529" w:type="pct"/>
            <w:textDirection w:val="lrTb"/>
            <w:noWrap w:val="false"/>
          </w:tcPr>
          <w:p>
            <w:pPr>
              <w:jc w:val="center"/>
              <w:spacing w:after="113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1</w:t>
            </w:r>
            <w:r/>
          </w:p>
        </w:tc>
        <w:tc>
          <w:tcPr>
            <w:shd w:val="clear" w:color="auto" w:fill="ffff00"/>
            <w:tcW w:w="4471" w:type="pct"/>
            <w:textDirection w:val="lrTb"/>
            <w:noWrap w:val="false"/>
          </w:tcPr>
          <w:p>
            <w:pPr>
              <w:jc w:val="both"/>
              <w:spacing w:after="113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Определение оптимальных средств и методов анализа природных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br/>
              <w:t xml:space="preserve">и промышленных материалов</w:t>
            </w:r>
            <w:r/>
          </w:p>
        </w:tc>
      </w:tr>
      <w:tr>
        <w:trPr/>
        <w:tc>
          <w:tcPr>
            <w:shd w:val="clear" w:color="auto" w:fill="ffff00"/>
            <w:tcW w:w="529" w:type="pct"/>
            <w:textDirection w:val="lrTb"/>
            <w:noWrap w:val="false"/>
          </w:tcPr>
          <w:p>
            <w:pPr>
              <w:jc w:val="center"/>
              <w:spacing w:after="113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2</w:t>
            </w:r>
            <w:r/>
          </w:p>
        </w:tc>
        <w:tc>
          <w:tcPr>
            <w:shd w:val="clear" w:color="auto" w:fill="ffff00"/>
            <w:tcW w:w="4471" w:type="pct"/>
            <w:textDirection w:val="lrTb"/>
            <w:noWrap w:val="false"/>
          </w:tcPr>
          <w:p>
            <w:pPr>
              <w:jc w:val="both"/>
              <w:spacing w:after="113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Проведение качественных и количественных анализов природных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br/>
              <w:t xml:space="preserve">и промышленных материалов с применением химических и физико-химических методов анализа</w:t>
            </w:r>
            <w:r/>
          </w:p>
        </w:tc>
      </w:tr>
      <w:tr>
        <w:trPr/>
        <w:tc>
          <w:tcPr>
            <w:shd w:val="clear" w:color="auto" w:fill="ffff00"/>
            <w:tcW w:w="529" w:type="pct"/>
            <w:textDirection w:val="lrTb"/>
            <w:noWrap w:val="false"/>
          </w:tcPr>
          <w:p>
            <w:pPr>
              <w:jc w:val="center"/>
              <w:spacing w:after="113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3</w:t>
            </w:r>
            <w:r/>
          </w:p>
        </w:tc>
        <w:tc>
          <w:tcPr>
            <w:shd w:val="clear" w:color="auto" w:fill="ffff00"/>
            <w:tcW w:w="4471" w:type="pct"/>
            <w:textDirection w:val="lrTb"/>
            <w:noWrap w:val="false"/>
          </w:tcPr>
          <w:p>
            <w:pPr>
              <w:jc w:val="both"/>
              <w:spacing w:after="113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Организация лабораторно-производственной деятельности</w:t>
            </w:r>
            <w:r/>
          </w:p>
        </w:tc>
      </w:tr>
    </w:tbl>
    <w:p>
      <w:pPr>
        <w:rPr>
          <w:rFonts w:ascii="Times New Roman" w:hAnsi="Times New Roman" w:eastAsia="Calibri" w:cs="Times New Roman"/>
          <w:sz w:val="72"/>
          <w:szCs w:val="72"/>
        </w:rPr>
      </w:pPr>
      <w:r>
        <w:rPr>
          <w:rFonts w:ascii="Times New Roman" w:hAnsi="Times New Roman" w:eastAsia="Calibri" w:cs="Times New Roman"/>
          <w:sz w:val="72"/>
          <w:szCs w:val="72"/>
        </w:rPr>
      </w:r>
      <w:r/>
    </w:p>
    <w:p>
      <w:pPr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</w:r>
      <w:r/>
    </w:p>
    <w:p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</w:r>
      <w:r/>
    </w:p>
    <w:p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96303619"/>
      <w:docPartObj>
        <w:docPartGallery w:val="Page Numbers (Bottom of Page)"/>
        <w:docPartUnique w:val="true"/>
      </w:docPartObj>
      <w:rPr/>
    </w:sdtPr>
    <w:sdtContent>
      <w:p>
        <w:pPr>
          <w:pStyle w:val="85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7</w:t>
        </w:r>
        <w:r>
          <w:fldChar w:fldCharType="end"/>
        </w:r>
        <w:r/>
      </w:p>
    </w:sdtContent>
  </w:sdt>
  <w:p>
    <w:pPr>
      <w:pStyle w:val="85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righ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righ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0"/>
    <w:next w:val="850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basedOn w:val="851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0"/>
    <w:next w:val="850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basedOn w:val="851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0"/>
    <w:next w:val="850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basedOn w:val="851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0"/>
    <w:next w:val="850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basedOn w:val="851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0"/>
    <w:next w:val="850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basedOn w:val="851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0"/>
    <w:next w:val="850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basedOn w:val="851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0"/>
    <w:next w:val="850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basedOn w:val="851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0"/>
    <w:next w:val="850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basedOn w:val="851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0"/>
    <w:next w:val="850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basedOn w:val="851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No Spacing"/>
    <w:uiPriority w:val="1"/>
    <w:qFormat/>
    <w:pPr>
      <w:spacing w:before="0" w:after="0" w:line="240" w:lineRule="auto"/>
    </w:pPr>
  </w:style>
  <w:style w:type="paragraph" w:styleId="695">
    <w:name w:val="Title"/>
    <w:basedOn w:val="850"/>
    <w:next w:val="850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>
    <w:name w:val="Title Char"/>
    <w:basedOn w:val="851"/>
    <w:link w:val="695"/>
    <w:uiPriority w:val="10"/>
    <w:rPr>
      <w:sz w:val="48"/>
      <w:szCs w:val="48"/>
    </w:rPr>
  </w:style>
  <w:style w:type="paragraph" w:styleId="697">
    <w:name w:val="Subtitle"/>
    <w:basedOn w:val="850"/>
    <w:next w:val="850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>
    <w:name w:val="Subtitle Char"/>
    <w:basedOn w:val="851"/>
    <w:link w:val="697"/>
    <w:uiPriority w:val="11"/>
    <w:rPr>
      <w:sz w:val="24"/>
      <w:szCs w:val="24"/>
    </w:rPr>
  </w:style>
  <w:style w:type="paragraph" w:styleId="699">
    <w:name w:val="Quote"/>
    <w:basedOn w:val="850"/>
    <w:next w:val="850"/>
    <w:link w:val="700"/>
    <w:uiPriority w:val="29"/>
    <w:qFormat/>
    <w:pPr>
      <w:ind w:left="720" w:right="720"/>
    </w:pPr>
    <w:rPr>
      <w:i/>
    </w:rPr>
  </w:style>
  <w:style w:type="character" w:styleId="700">
    <w:name w:val="Quote Char"/>
    <w:link w:val="699"/>
    <w:uiPriority w:val="29"/>
    <w:rPr>
      <w:i/>
    </w:rPr>
  </w:style>
  <w:style w:type="paragraph" w:styleId="701">
    <w:name w:val="Intense Quote"/>
    <w:basedOn w:val="850"/>
    <w:next w:val="850"/>
    <w:link w:val="70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>
    <w:name w:val="Intense Quote Char"/>
    <w:link w:val="701"/>
    <w:uiPriority w:val="30"/>
    <w:rPr>
      <w:i/>
    </w:rPr>
  </w:style>
  <w:style w:type="character" w:styleId="703">
    <w:name w:val="Header Char"/>
    <w:basedOn w:val="851"/>
    <w:link w:val="856"/>
    <w:uiPriority w:val="99"/>
  </w:style>
  <w:style w:type="character" w:styleId="704">
    <w:name w:val="Footer Char"/>
    <w:basedOn w:val="851"/>
    <w:link w:val="858"/>
    <w:uiPriority w:val="99"/>
  </w:style>
  <w:style w:type="paragraph" w:styleId="705">
    <w:name w:val="Caption"/>
    <w:basedOn w:val="850"/>
    <w:next w:val="85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basedOn w:val="705"/>
    <w:link w:val="858"/>
    <w:uiPriority w:val="99"/>
  </w:style>
  <w:style w:type="table" w:styleId="707">
    <w:name w:val="Table Grid Light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06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7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8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9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10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1">
    <w:name w:val="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13">
    <w:name w:val="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4">
    <w:name w:val="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5">
    <w:name w:val="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6">
    <w:name w:val="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17">
    <w:name w:val="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8">
    <w:name w:val="Bordered &amp; 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Bordered &amp; 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20">
    <w:name w:val="Bordered &amp; 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1">
    <w:name w:val="Bordered &amp; 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2">
    <w:name w:val="Bordered &amp; 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3">
    <w:name w:val="Bordered &amp; 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24">
    <w:name w:val="Bordered &amp; 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5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000ff" w:themeColor="hyperlink"/>
      <w:u w:val="single"/>
    </w:rPr>
  </w:style>
  <w:style w:type="paragraph" w:styleId="833">
    <w:name w:val="footnote text"/>
    <w:basedOn w:val="85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basedOn w:val="851"/>
    <w:uiPriority w:val="99"/>
    <w:unhideWhenUsed/>
    <w:rPr>
      <w:vertAlign w:val="superscript"/>
    </w:rPr>
  </w:style>
  <w:style w:type="paragraph" w:styleId="836">
    <w:name w:val="endnote text"/>
    <w:basedOn w:val="85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basedOn w:val="851"/>
    <w:uiPriority w:val="99"/>
    <w:semiHidden/>
    <w:unhideWhenUsed/>
    <w:rPr>
      <w:vertAlign w:val="superscript"/>
    </w:rPr>
  </w:style>
  <w:style w:type="paragraph" w:styleId="839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840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841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842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843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844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845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846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847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  <w:qFormat/>
  </w:style>
  <w:style w:type="character" w:styleId="851" w:default="1">
    <w:name w:val="Default Paragraph Font"/>
    <w:uiPriority w:val="1"/>
    <w:semiHidden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paragraph" w:styleId="854">
    <w:name w:val="List Paragraph"/>
    <w:basedOn w:val="850"/>
    <w:link w:val="855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 w:cs="Times New Roman"/>
    </w:rPr>
  </w:style>
  <w:style w:type="character" w:styleId="855" w:customStyle="1">
    <w:name w:val="Абзац списка Знак"/>
    <w:basedOn w:val="851"/>
    <w:link w:val="854"/>
    <w:uiPriority w:val="34"/>
    <w:rPr>
      <w:rFonts w:ascii="Calibri" w:hAnsi="Calibri" w:eastAsia="Calibri" w:cs="Times New Roman"/>
    </w:rPr>
  </w:style>
  <w:style w:type="paragraph" w:styleId="856">
    <w:name w:val="Header"/>
    <w:basedOn w:val="850"/>
    <w:link w:val="85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7" w:customStyle="1">
    <w:name w:val="Верхний колонтитул Знак"/>
    <w:basedOn w:val="851"/>
    <w:link w:val="856"/>
    <w:uiPriority w:val="99"/>
  </w:style>
  <w:style w:type="paragraph" w:styleId="858">
    <w:name w:val="Footer"/>
    <w:basedOn w:val="850"/>
    <w:link w:val="85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9" w:customStyle="1">
    <w:name w:val="Нижний колонтитул Знак"/>
    <w:basedOn w:val="851"/>
    <w:link w:val="858"/>
    <w:uiPriority w:val="99"/>
  </w:style>
  <w:style w:type="paragraph" w:styleId="860">
    <w:name w:val="Body Text"/>
    <w:basedOn w:val="850"/>
    <w:link w:val="861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</w:rPr>
  </w:style>
  <w:style w:type="character" w:styleId="861" w:customStyle="1">
    <w:name w:val="Основной текст Знак"/>
    <w:basedOn w:val="851"/>
    <w:link w:val="860"/>
    <w:uiPriority w:val="1"/>
    <w:rPr>
      <w:rFonts w:ascii="Times New Roman" w:hAnsi="Times New Roman" w:eastAsia="Times New Roman" w:cs="Times New Roman"/>
      <w:sz w:val="28"/>
      <w:szCs w:val="28"/>
    </w:rPr>
  </w:style>
  <w:style w:type="table" w:styleId="862">
    <w:name w:val="Table Grid"/>
    <w:basedOn w:val="852"/>
    <w:uiPriority w:val="39"/>
    <w:pPr>
      <w:spacing w:after="0" w:line="240" w:lineRule="auto"/>
      <w:widowControl w:val="off"/>
    </w:pPr>
    <w:rPr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3">
    <w:name w:val="Balloon Text"/>
    <w:basedOn w:val="850"/>
    <w:link w:val="86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4" w:customStyle="1">
    <w:name w:val="Текст выноски Знак"/>
    <w:basedOn w:val="851"/>
    <w:link w:val="86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Р7-Офис/7.2.0.134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revision>6</cp:revision>
  <dcterms:created xsi:type="dcterms:W3CDTF">2023-08-15T07:29:00Z</dcterms:created>
  <dcterms:modified xsi:type="dcterms:W3CDTF">2024-02-19T07:10:06Z</dcterms:modified>
</cp:coreProperties>
</file>